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CEBC2D" w14:textId="47616170"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044C53">
        <w:t>AH 1807</w:t>
      </w:r>
      <w:r w:rsidRPr="00CE0424">
        <w:tab/>
      </w:r>
      <w:proofErr w:type="spellStart"/>
      <w:r w:rsidRPr="00CE0424">
        <w:rPr>
          <w:sz w:val="32"/>
          <w:szCs w:val="32"/>
        </w:rPr>
        <w:t>Tdoc</w:t>
      </w:r>
      <w:proofErr w:type="spellEnd"/>
      <w:r w:rsidRPr="00CE0424">
        <w:rPr>
          <w:sz w:val="32"/>
          <w:szCs w:val="32"/>
        </w:rPr>
        <w:t xml:space="preserve"> R2-</w:t>
      </w:r>
      <w:r w:rsidR="00824834" w:rsidRPr="00CE0424">
        <w:rPr>
          <w:sz w:val="32"/>
          <w:szCs w:val="32"/>
        </w:rPr>
        <w:t>1</w:t>
      </w:r>
      <w:r w:rsidR="00824834">
        <w:rPr>
          <w:sz w:val="32"/>
          <w:szCs w:val="32"/>
        </w:rPr>
        <w:t>810079</w:t>
      </w:r>
    </w:p>
    <w:p w14:paraId="7915D19A" w14:textId="77777777" w:rsidR="00700EF5" w:rsidRPr="00CE0424" w:rsidRDefault="00044C53" w:rsidP="00700EF5">
      <w:pPr>
        <w:pStyle w:val="3GPPHeader"/>
      </w:pPr>
      <w:r>
        <w:t>Montreal</w:t>
      </w:r>
      <w:r w:rsidR="005E03C7" w:rsidRPr="005E03C7">
        <w:t>,</w:t>
      </w:r>
      <w:r w:rsidR="00D323F0">
        <w:t xml:space="preserve"> </w:t>
      </w:r>
      <w:r>
        <w:t>Canada</w:t>
      </w:r>
      <w:r w:rsidR="00700EF5" w:rsidRPr="004A782B">
        <w:t xml:space="preserve">, </w:t>
      </w:r>
      <w:r>
        <w:t>2</w:t>
      </w:r>
      <w:r w:rsidRPr="00044C53">
        <w:rPr>
          <w:vertAlign w:val="superscript"/>
        </w:rPr>
        <w:t>nd</w:t>
      </w:r>
      <w:r>
        <w:t xml:space="preserve"> </w:t>
      </w:r>
      <w:r w:rsidR="00700EF5" w:rsidRPr="00631CA0">
        <w:t xml:space="preserve">– </w:t>
      </w:r>
      <w:r>
        <w:t>6</w:t>
      </w:r>
      <w:r w:rsidRPr="00044C53">
        <w:rPr>
          <w:vertAlign w:val="superscript"/>
        </w:rPr>
        <w:t>th</w:t>
      </w:r>
      <w:r>
        <w:t xml:space="preserve"> July</w:t>
      </w:r>
      <w:r w:rsidR="00700EF5">
        <w:t xml:space="preserve"> </w:t>
      </w:r>
      <w:r w:rsidR="00700EF5" w:rsidRPr="00631CA0">
        <w:t>201</w:t>
      </w:r>
      <w:r w:rsidR="000151AE">
        <w:t>8</w:t>
      </w:r>
    </w:p>
    <w:p w14:paraId="5516F72E" w14:textId="77777777" w:rsidR="00E90E49" w:rsidRPr="00CE0424" w:rsidRDefault="00E90E49" w:rsidP="00357380">
      <w:pPr>
        <w:pStyle w:val="3GPPHeader"/>
      </w:pPr>
    </w:p>
    <w:p w14:paraId="6D1591D3" w14:textId="60AD1688" w:rsidR="00E90E49" w:rsidRPr="00C61D85" w:rsidRDefault="00E90E49" w:rsidP="00311702">
      <w:pPr>
        <w:pStyle w:val="3GPPHeader"/>
        <w:rPr>
          <w:sz w:val="22"/>
          <w:szCs w:val="22"/>
          <w:lang w:val="en-US"/>
        </w:rPr>
      </w:pPr>
      <w:r w:rsidRPr="00C61D85">
        <w:rPr>
          <w:sz w:val="22"/>
          <w:szCs w:val="22"/>
          <w:lang w:val="en-US"/>
        </w:rPr>
        <w:t>Agenda Item:</w:t>
      </w:r>
      <w:r w:rsidRPr="00C61D85">
        <w:rPr>
          <w:sz w:val="22"/>
          <w:szCs w:val="22"/>
          <w:lang w:val="en-US"/>
        </w:rPr>
        <w:tab/>
      </w:r>
      <w:r w:rsidR="00AE077E" w:rsidRPr="00C61D85">
        <w:rPr>
          <w:sz w:val="22"/>
          <w:szCs w:val="22"/>
          <w:lang w:val="en-US"/>
        </w:rPr>
        <w:t>10.3.1.4.2</w:t>
      </w:r>
    </w:p>
    <w:p w14:paraId="6F883DF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8BF1A4E" w14:textId="77777777" w:rsidR="00E90E49" w:rsidRPr="00CE0424" w:rsidRDefault="003D3C45" w:rsidP="00311702">
      <w:pPr>
        <w:pStyle w:val="3GPPHeader"/>
        <w:rPr>
          <w:sz w:val="22"/>
          <w:szCs w:val="22"/>
        </w:rPr>
      </w:pPr>
      <w:r w:rsidRPr="00AE077E">
        <w:rPr>
          <w:sz w:val="22"/>
          <w:szCs w:val="22"/>
        </w:rPr>
        <w:t>Title:</w:t>
      </w:r>
      <w:r w:rsidR="00E90E49" w:rsidRPr="00AE077E">
        <w:rPr>
          <w:sz w:val="22"/>
          <w:szCs w:val="22"/>
        </w:rPr>
        <w:tab/>
      </w:r>
      <w:r w:rsidR="00177016" w:rsidRPr="00C01AB6">
        <w:rPr>
          <w:sz w:val="22"/>
          <w:szCs w:val="22"/>
        </w:rPr>
        <w:t>Successful Termination of BFR</w:t>
      </w:r>
    </w:p>
    <w:p w14:paraId="366104DE" w14:textId="77777777" w:rsidR="00E90E49" w:rsidRDefault="00E90E49" w:rsidP="00D546FF">
      <w:pPr>
        <w:pStyle w:val="3GPPHeader"/>
        <w:rPr>
          <w:sz w:val="22"/>
          <w:szCs w:val="22"/>
        </w:rPr>
      </w:pPr>
      <w:r w:rsidRPr="00AE077E">
        <w:rPr>
          <w:sz w:val="22"/>
          <w:szCs w:val="22"/>
        </w:rPr>
        <w:t>Document for:</w:t>
      </w:r>
      <w:r w:rsidRPr="00AE077E">
        <w:rPr>
          <w:sz w:val="22"/>
          <w:szCs w:val="22"/>
        </w:rPr>
        <w:tab/>
      </w:r>
      <w:r w:rsidRPr="00C01AB6">
        <w:rPr>
          <w:sz w:val="22"/>
          <w:szCs w:val="22"/>
        </w:rPr>
        <w:t>Discussion, Decision</w:t>
      </w:r>
    </w:p>
    <w:p w14:paraId="6CF84A8E" w14:textId="77777777" w:rsidR="00C24345" w:rsidRDefault="00E90E49" w:rsidP="00A2052C">
      <w:pPr>
        <w:pStyle w:val="Heading1"/>
      </w:pPr>
      <w:r w:rsidRPr="00CE0424">
        <w:t>Introduction</w:t>
      </w:r>
    </w:p>
    <w:p w14:paraId="0C511B2E" w14:textId="7D1AEB8B" w:rsidR="00A2052C" w:rsidRPr="00A2052C" w:rsidRDefault="00513364" w:rsidP="00A2052C">
      <w:r>
        <w:t>In the last RAN2#102 meeting, there was a discussion of which CORESET that should be monitored for RAR during the CFRA procedure for BFR and when the BFR should be considered successful. In this contribution, we further discuss this topic.</w:t>
      </w:r>
    </w:p>
    <w:p w14:paraId="1E8C7547" w14:textId="77777777" w:rsidR="004000E8" w:rsidRPr="00CE0424" w:rsidRDefault="004000E8" w:rsidP="00CE0424">
      <w:pPr>
        <w:pStyle w:val="Heading1"/>
      </w:pPr>
      <w:bookmarkStart w:id="0" w:name="_Ref178064866"/>
      <w:r w:rsidRPr="00CE0424">
        <w:t>Discussion</w:t>
      </w:r>
      <w:bookmarkEnd w:id="0"/>
    </w:p>
    <w:p w14:paraId="71AACA7B" w14:textId="2076E130" w:rsidR="00513364" w:rsidRDefault="00513364" w:rsidP="00CE0424">
      <w:pPr>
        <w:pStyle w:val="BodyText"/>
      </w:pPr>
      <w:r>
        <w:t>The current 38.321 for CFRA for BFR procedure states that th</w:t>
      </w:r>
      <w:r w:rsidR="003C55D6">
        <w:t xml:space="preserve">e </w:t>
      </w:r>
      <w:proofErr w:type="gramStart"/>
      <w:r w:rsidR="003C55D6">
        <w:t>Random Access</w:t>
      </w:r>
      <w:proofErr w:type="gramEnd"/>
      <w:r>
        <w:t xml:space="preserve"> procedure is successful when </w:t>
      </w:r>
      <w:r w:rsidRPr="00513364">
        <w:t>a PDCCH transmission is addressed to the C-RNTI</w:t>
      </w:r>
      <w:r>
        <w:t xml:space="preserve"> according</w:t>
      </w:r>
      <w:r w:rsidR="003C55D6">
        <w:t xml:space="preserve"> to:</w:t>
      </w:r>
    </w:p>
    <w:p w14:paraId="51CB4CBE" w14:textId="77777777" w:rsidR="00513364" w:rsidRPr="00513364" w:rsidRDefault="00513364" w:rsidP="00513364">
      <w:pPr>
        <w:overflowPunct/>
        <w:autoSpaceDE/>
        <w:autoSpaceDN/>
        <w:adjustRightInd/>
        <w:spacing w:after="180"/>
        <w:ind w:left="568" w:hanging="284"/>
        <w:jc w:val="left"/>
        <w:textAlignment w:val="auto"/>
        <w:rPr>
          <w:rFonts w:ascii="Times New Roman" w:eastAsia="Malgun Gothic" w:hAnsi="Times New Roman"/>
          <w:highlight w:val="yellow"/>
          <w:lang w:eastAsia="ko-KR"/>
        </w:rPr>
      </w:pPr>
      <w:r w:rsidRPr="00513364">
        <w:rPr>
          <w:rFonts w:ascii="Times New Roman" w:eastAsia="Malgun Gothic" w:hAnsi="Times New Roman"/>
          <w:highlight w:val="yellow"/>
          <w:lang w:eastAsia="ko-KR"/>
        </w:rPr>
        <w:t>1&gt;</w:t>
      </w:r>
      <w:r w:rsidRPr="00513364">
        <w:rPr>
          <w:rFonts w:ascii="Times New Roman" w:eastAsia="Malgun Gothic" w:hAnsi="Times New Roman"/>
          <w:highlight w:val="yellow"/>
          <w:lang w:eastAsia="ko-KR"/>
        </w:rPr>
        <w:tab/>
        <w:t>if notification of a reception of a PDCCH transmission is received from lower layers; and</w:t>
      </w:r>
    </w:p>
    <w:p w14:paraId="7F4BF873" w14:textId="77777777" w:rsidR="00513364" w:rsidRPr="00513364" w:rsidRDefault="00513364" w:rsidP="00513364">
      <w:pPr>
        <w:overflowPunct/>
        <w:autoSpaceDE/>
        <w:autoSpaceDN/>
        <w:adjustRightInd/>
        <w:spacing w:after="180"/>
        <w:ind w:left="568" w:hanging="284"/>
        <w:jc w:val="left"/>
        <w:textAlignment w:val="auto"/>
        <w:rPr>
          <w:rFonts w:ascii="Times New Roman" w:eastAsia="Malgun Gothic" w:hAnsi="Times New Roman"/>
          <w:highlight w:val="yellow"/>
          <w:lang w:eastAsia="ko-KR"/>
        </w:rPr>
      </w:pPr>
      <w:r w:rsidRPr="00513364">
        <w:rPr>
          <w:rFonts w:ascii="Times New Roman" w:eastAsia="Malgun Gothic" w:hAnsi="Times New Roman"/>
          <w:highlight w:val="yellow"/>
          <w:lang w:eastAsia="ko-KR"/>
        </w:rPr>
        <w:t>1&gt;</w:t>
      </w:r>
      <w:r w:rsidRPr="00513364">
        <w:rPr>
          <w:rFonts w:ascii="Times New Roman" w:eastAsia="Malgun Gothic" w:hAnsi="Times New Roman"/>
          <w:highlight w:val="yellow"/>
          <w:lang w:eastAsia="ko-KR"/>
        </w:rPr>
        <w:tab/>
        <w:t>if PDCCH transmission is addressed to the C-RNTI; and</w:t>
      </w:r>
    </w:p>
    <w:p w14:paraId="20875568" w14:textId="77777777" w:rsidR="00513364" w:rsidRPr="00513364" w:rsidRDefault="00513364" w:rsidP="00513364">
      <w:pPr>
        <w:overflowPunct/>
        <w:autoSpaceDE/>
        <w:autoSpaceDN/>
        <w:adjustRightInd/>
        <w:spacing w:after="180"/>
        <w:ind w:left="568" w:hanging="284"/>
        <w:jc w:val="left"/>
        <w:textAlignment w:val="auto"/>
        <w:rPr>
          <w:rFonts w:ascii="Times New Roman" w:eastAsia="Malgun Gothic" w:hAnsi="Times New Roman"/>
          <w:highlight w:val="yellow"/>
          <w:lang w:eastAsia="ko-KR"/>
        </w:rPr>
      </w:pPr>
      <w:r w:rsidRPr="00513364">
        <w:rPr>
          <w:rFonts w:ascii="Times New Roman" w:eastAsia="Malgun Gothic" w:hAnsi="Times New Roman"/>
          <w:highlight w:val="yellow"/>
          <w:lang w:eastAsia="ko-KR"/>
        </w:rPr>
        <w:t>1&gt;</w:t>
      </w:r>
      <w:r w:rsidRPr="00513364">
        <w:rPr>
          <w:rFonts w:ascii="Times New Roman" w:eastAsia="Malgun Gothic" w:hAnsi="Times New Roman"/>
          <w:highlight w:val="yellow"/>
          <w:lang w:eastAsia="ko-KR"/>
        </w:rPr>
        <w:tab/>
        <w:t xml:space="preserve">if the contention-free </w:t>
      </w:r>
      <w:proofErr w:type="gramStart"/>
      <w:r w:rsidRPr="00513364">
        <w:rPr>
          <w:rFonts w:ascii="Times New Roman" w:eastAsia="Malgun Gothic" w:hAnsi="Times New Roman"/>
          <w:highlight w:val="yellow"/>
          <w:lang w:eastAsia="ko-KR"/>
        </w:rPr>
        <w:t>Random Access</w:t>
      </w:r>
      <w:proofErr w:type="gramEnd"/>
      <w:r w:rsidRPr="00513364">
        <w:rPr>
          <w:rFonts w:ascii="Times New Roman" w:eastAsia="Malgun Gothic" w:hAnsi="Times New Roman"/>
          <w:highlight w:val="yellow"/>
          <w:lang w:eastAsia="ko-KR"/>
        </w:rPr>
        <w:t xml:space="preserve"> Preamble for beam failure recovery request was transmitted by the MAC entity:</w:t>
      </w:r>
    </w:p>
    <w:p w14:paraId="28936F65" w14:textId="02E4338D" w:rsidR="00513364" w:rsidRDefault="00513364" w:rsidP="003C55D6">
      <w:pPr>
        <w:pStyle w:val="BodyText"/>
        <w:ind w:left="567"/>
      </w:pPr>
      <w:r w:rsidRPr="003C55D6">
        <w:rPr>
          <w:rFonts w:ascii="Times New Roman" w:eastAsia="Malgun Gothic" w:hAnsi="Times New Roman"/>
          <w:highlight w:val="yellow"/>
          <w:lang w:eastAsia="ko-KR"/>
        </w:rPr>
        <w:t>2&gt;</w:t>
      </w:r>
      <w:r w:rsidRPr="003C55D6">
        <w:rPr>
          <w:rFonts w:ascii="Times New Roman" w:eastAsia="Malgun Gothic" w:hAnsi="Times New Roman"/>
          <w:highlight w:val="yellow"/>
          <w:lang w:eastAsia="ko-KR"/>
        </w:rPr>
        <w:tab/>
        <w:t xml:space="preserve">consider the </w:t>
      </w:r>
      <w:proofErr w:type="gramStart"/>
      <w:r w:rsidRPr="003C55D6">
        <w:rPr>
          <w:rFonts w:ascii="Times New Roman" w:eastAsia="Malgun Gothic" w:hAnsi="Times New Roman"/>
          <w:highlight w:val="yellow"/>
          <w:lang w:eastAsia="ko-KR"/>
        </w:rPr>
        <w:t>Random Access</w:t>
      </w:r>
      <w:proofErr w:type="gramEnd"/>
      <w:r w:rsidRPr="003C55D6">
        <w:rPr>
          <w:rFonts w:ascii="Times New Roman" w:eastAsia="Malgun Gothic" w:hAnsi="Times New Roman"/>
          <w:highlight w:val="yellow"/>
          <w:lang w:eastAsia="ko-KR"/>
        </w:rPr>
        <w:t xml:space="preserve"> procedure successfully completed.</w:t>
      </w:r>
    </w:p>
    <w:p w14:paraId="1C35CAA0" w14:textId="0BA99F38" w:rsidR="00513364" w:rsidRDefault="00513364" w:rsidP="00CE0424">
      <w:pPr>
        <w:pStyle w:val="BodyText"/>
      </w:pPr>
      <w:r>
        <w:t xml:space="preserve"> </w:t>
      </w:r>
    </w:p>
    <w:p w14:paraId="2C4873A6" w14:textId="3177E490" w:rsidR="003C55D6" w:rsidRDefault="003C55D6" w:rsidP="00CE0424">
      <w:pPr>
        <w:pStyle w:val="BodyText"/>
      </w:pPr>
      <w:r>
        <w:t xml:space="preserve">There can be several PDCCH search spaces configured for a UE. In particular, when a CFRA BFR procedure is used, a </w:t>
      </w:r>
      <w:proofErr w:type="spellStart"/>
      <w:proofErr w:type="gramStart"/>
      <w:r w:rsidR="00D225B8" w:rsidRPr="00F35584">
        <w:t>recoverySearchSpaceId</w:t>
      </w:r>
      <w:proofErr w:type="spellEnd"/>
      <w:r w:rsidR="00D225B8" w:rsidRPr="00385677">
        <w:t xml:space="preserve"> </w:t>
      </w:r>
      <w:r w:rsidR="00E43384">
        <w:t xml:space="preserve"> </w:t>
      </w:r>
      <w:r>
        <w:t>is</w:t>
      </w:r>
      <w:proofErr w:type="gramEnd"/>
      <w:r>
        <w:t xml:space="preserve"> configured </w:t>
      </w:r>
      <w:r w:rsidR="00E43384">
        <w:t>for</w:t>
      </w:r>
      <w:r>
        <w:t xml:space="preserve"> RAR to the CF preamble transmission for BFR. In addition to the </w:t>
      </w:r>
      <w:proofErr w:type="spellStart"/>
      <w:proofErr w:type="gramStart"/>
      <w:r w:rsidR="00D225B8" w:rsidRPr="00F35584">
        <w:t>recoverySearchSpaceId</w:t>
      </w:r>
      <w:proofErr w:type="spellEnd"/>
      <w:r w:rsidR="00D225B8" w:rsidRPr="00385677">
        <w:t xml:space="preserve"> </w:t>
      </w:r>
      <w:r>
        <w:t>,</w:t>
      </w:r>
      <w:proofErr w:type="gramEnd"/>
      <w:r>
        <w:t xml:space="preserve"> </w:t>
      </w:r>
      <w:r w:rsidR="00E43384">
        <w:t>other search spaces will also be monitored, e.g.</w:t>
      </w:r>
      <w:r>
        <w:t xml:space="preserve"> common search space</w:t>
      </w:r>
      <w:r w:rsidR="00E43384">
        <w:t>.</w:t>
      </w:r>
    </w:p>
    <w:p w14:paraId="1904A8BC" w14:textId="1367FF32" w:rsidR="003C55D6" w:rsidRDefault="003C55D6" w:rsidP="00CE0424">
      <w:pPr>
        <w:pStyle w:val="BodyText"/>
      </w:pPr>
      <w:r>
        <w:t xml:space="preserve">In </w:t>
      </w:r>
      <w:r w:rsidR="00E43384">
        <w:fldChar w:fldCharType="begin"/>
      </w:r>
      <w:r w:rsidR="00E43384">
        <w:instrText xml:space="preserve"> REF _Ref516817091 \r \h </w:instrText>
      </w:r>
      <w:r w:rsidR="00E43384">
        <w:fldChar w:fldCharType="separate"/>
      </w:r>
      <w:r w:rsidR="00E43384">
        <w:t>[1]</w:t>
      </w:r>
      <w:r w:rsidR="00E43384">
        <w:fldChar w:fldCharType="end"/>
      </w:r>
      <w:r>
        <w:t xml:space="preserve">, it was proposed to clarify </w:t>
      </w:r>
      <w:r w:rsidR="007B7A62">
        <w:t xml:space="preserve">which search space </w:t>
      </w:r>
      <w:r>
        <w:t xml:space="preserve">that the UE should monitor </w:t>
      </w:r>
      <w:r w:rsidR="007B7A62">
        <w:t xml:space="preserve">during the BFR and that only when a PDCCH addressed to the C-RNTI was received on </w:t>
      </w:r>
      <w:proofErr w:type="spellStart"/>
      <w:proofErr w:type="gramStart"/>
      <w:r w:rsidR="00AC4F06" w:rsidRPr="00F35584">
        <w:t>recoverySearchSpaceId</w:t>
      </w:r>
      <w:proofErr w:type="spellEnd"/>
      <w:r w:rsidR="00AC4F06">
        <w:t xml:space="preserve"> </w:t>
      </w:r>
      <w:r w:rsidR="007B7A62">
        <w:t>,</w:t>
      </w:r>
      <w:proofErr w:type="gramEnd"/>
      <w:r>
        <w:t xml:space="preserve"> the </w:t>
      </w:r>
      <w:r w:rsidR="004E57C8">
        <w:t xml:space="preserve">UE should consider the </w:t>
      </w:r>
      <w:r>
        <w:t xml:space="preserve">BFR procedure </w:t>
      </w:r>
      <w:r w:rsidR="00297F5C">
        <w:t>to</w:t>
      </w:r>
      <w:r>
        <w:t xml:space="preserve"> be successfully completed.</w:t>
      </w:r>
      <w:r w:rsidR="007B7A62">
        <w:t xml:space="preserve"> The argument used to motivate this is if a PDCCH addressed to the C-RNTI is received on a different search space</w:t>
      </w:r>
      <w:r w:rsidR="00523BC0">
        <w:t>, then this PDCCH transmission is not a related to the BFR procedure.</w:t>
      </w:r>
    </w:p>
    <w:p w14:paraId="46CFB08A" w14:textId="50D27478" w:rsidR="00523BC0" w:rsidRDefault="00523BC0" w:rsidP="00CE0424">
      <w:pPr>
        <w:pStyle w:val="BodyText"/>
      </w:pPr>
      <w:r>
        <w:t xml:space="preserve">This argument may be true, but it should be noted that the pure ability to receive a PDCCH on any search space indicates that the UE is able to receive DL and that the beam failure has been recovered. </w:t>
      </w:r>
      <w:r w:rsidR="002D732B">
        <w:t xml:space="preserve">Alternatively, since the PDCCH can be received, there is no need </w:t>
      </w:r>
      <w:r w:rsidR="00A354E4">
        <w:t>to do a BFR procedure. Since PDCCH can be received</w:t>
      </w:r>
      <w:r w:rsidR="002D732B">
        <w:t>, already</w:t>
      </w:r>
      <w:r>
        <w:t xml:space="preserve"> available beam management procedures can be used to further select DL beam, if needed.</w:t>
      </w:r>
    </w:p>
    <w:p w14:paraId="69A7DAF2" w14:textId="779E3E3E" w:rsidR="002D732B" w:rsidRPr="00CE0424" w:rsidRDefault="002D732B" w:rsidP="002D732B">
      <w:pPr>
        <w:pStyle w:val="Observation"/>
      </w:pPr>
      <w:bookmarkStart w:id="1" w:name="_Toc347822666"/>
      <w:bookmarkStart w:id="2" w:name="_Toc347823812"/>
      <w:bookmarkStart w:id="3" w:name="_Toc347823993"/>
      <w:bookmarkStart w:id="4" w:name="_Toc347824244"/>
      <w:bookmarkStart w:id="5" w:name="_Toc516819248"/>
      <w:r>
        <w:t>If the UE can receive PDCCH in any search space the BFR can be considered successful</w:t>
      </w:r>
      <w:bookmarkEnd w:id="1"/>
      <w:r>
        <w:t>.</w:t>
      </w:r>
      <w:bookmarkEnd w:id="2"/>
      <w:bookmarkEnd w:id="3"/>
      <w:bookmarkEnd w:id="4"/>
      <w:bookmarkEnd w:id="5"/>
    </w:p>
    <w:p w14:paraId="3A8A99BA" w14:textId="300B2F79" w:rsidR="00820BCC" w:rsidRDefault="00820BCC" w:rsidP="00CE0424">
      <w:pPr>
        <w:pStyle w:val="BodyText"/>
      </w:pPr>
      <w:r>
        <w:t xml:space="preserve">We also note that for CBRA BFR, there is not necessarily any </w:t>
      </w:r>
      <w:r w:rsidR="003A393D">
        <w:t>dedicated search space configured</w:t>
      </w:r>
      <w:r w:rsidR="00651120">
        <w:t>, and beam recovery must work for this case as well.</w:t>
      </w:r>
    </w:p>
    <w:p w14:paraId="0D7BD5CD" w14:textId="54FFE4C4" w:rsidR="0027144F" w:rsidRPr="00CE0424" w:rsidRDefault="00523BC0" w:rsidP="00CE0424">
      <w:pPr>
        <w:pStyle w:val="BodyText"/>
      </w:pPr>
      <w:r>
        <w:t xml:space="preserve">In addition, making the meaning of a PDCCH transmission dependent on which search space it is received on introduces new dependencies which are not needed. </w:t>
      </w:r>
      <w:r w:rsidR="002D732B">
        <w:t>We believe that no specific search space should be indicated in the RACH procedure in 38.321, i.e. the current text that the UE monitors the PDCCH is sufficient. We therefore propose:</w:t>
      </w:r>
    </w:p>
    <w:p w14:paraId="62C5C501" w14:textId="23A258DD" w:rsidR="00287838" w:rsidRPr="00A04F49" w:rsidRDefault="00A354E4" w:rsidP="00A04F49">
      <w:pPr>
        <w:pStyle w:val="Proposal"/>
      </w:pPr>
      <w:bookmarkStart w:id="6" w:name="_Ref190406817"/>
      <w:bookmarkStart w:id="7" w:name="_Toc226862296"/>
      <w:bookmarkStart w:id="8" w:name="_Toc347823621"/>
      <w:bookmarkStart w:id="9" w:name="_Toc347824073"/>
      <w:bookmarkStart w:id="10" w:name="_Toc347824246"/>
      <w:bookmarkStart w:id="11" w:name="_Toc516819251"/>
      <w:bookmarkStart w:id="12" w:name="_Toc517251302"/>
      <w:r>
        <w:lastRenderedPageBreak/>
        <w:t>There is no need to explicitly state which search space the UE is monitoring or receiving PDCCH on</w:t>
      </w:r>
      <w:r w:rsidR="00705F11">
        <w:t xml:space="preserve"> for BFR</w:t>
      </w:r>
      <w:r>
        <w:t xml:space="preserve"> in the RACH procedure in 38.321</w:t>
      </w:r>
      <w:bookmarkEnd w:id="6"/>
      <w:bookmarkEnd w:id="7"/>
      <w:r w:rsidR="00CC2011" w:rsidRPr="00A04F49">
        <w:t>.</w:t>
      </w:r>
      <w:bookmarkEnd w:id="8"/>
      <w:bookmarkEnd w:id="9"/>
      <w:bookmarkEnd w:id="10"/>
      <w:bookmarkEnd w:id="11"/>
      <w:bookmarkEnd w:id="12"/>
    </w:p>
    <w:p w14:paraId="7341DC42" w14:textId="77777777" w:rsidR="00C01F33" w:rsidRPr="00CE0424" w:rsidRDefault="00C01F33" w:rsidP="00CE0424">
      <w:pPr>
        <w:pStyle w:val="Heading1"/>
      </w:pPr>
      <w:r w:rsidRPr="00CE0424">
        <w:t>Conclusion</w:t>
      </w:r>
    </w:p>
    <w:p w14:paraId="018F766D" w14:textId="77777777" w:rsidR="00A354E4"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77016">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7BEECFD" w14:textId="77777777" w:rsidR="00A354E4" w:rsidRPr="00A354E4" w:rsidRDefault="00A354E4">
      <w:pPr>
        <w:pStyle w:val="TOC1"/>
        <w:rPr>
          <w:rFonts w:asciiTheme="minorHAnsi" w:eastAsiaTheme="minorEastAsia" w:hAnsiTheme="minorHAnsi" w:cstheme="minorBidi"/>
          <w:b w:val="0"/>
          <w:sz w:val="22"/>
          <w:lang w:eastAsia="sv-SE"/>
        </w:rPr>
      </w:pPr>
      <w:r>
        <w:t>Observation 1</w:t>
      </w:r>
      <w:r w:rsidRPr="00A354E4">
        <w:rPr>
          <w:rFonts w:asciiTheme="minorHAnsi" w:eastAsiaTheme="minorEastAsia" w:hAnsiTheme="minorHAnsi" w:cstheme="minorBidi"/>
          <w:b w:val="0"/>
          <w:sz w:val="22"/>
          <w:lang w:eastAsia="sv-SE"/>
        </w:rPr>
        <w:tab/>
      </w:r>
      <w:r>
        <w:t>If the UE can receive PDCCH in any search space the BFR can be considered successful.</w:t>
      </w:r>
    </w:p>
    <w:p w14:paraId="5B4558DE" w14:textId="77777777" w:rsidR="008E065E" w:rsidRDefault="008E065E" w:rsidP="008E065E">
      <w:pPr>
        <w:pStyle w:val="BodyText"/>
        <w:rPr>
          <w:b/>
          <w:bCs/>
        </w:rPr>
      </w:pPr>
      <w:r>
        <w:rPr>
          <w:b/>
          <w:bCs/>
        </w:rPr>
        <w:fldChar w:fldCharType="end"/>
      </w:r>
    </w:p>
    <w:p w14:paraId="37CF89DA" w14:textId="19DB59A3" w:rsidR="00424567" w:rsidRPr="00C01AB6" w:rsidRDefault="008E065E">
      <w:pPr>
        <w:pStyle w:val="TOC1"/>
        <w:rPr>
          <w:b w:val="0"/>
        </w:rPr>
      </w:pPr>
      <w:r w:rsidRPr="00C01AB6">
        <w:rPr>
          <w:b w:val="0"/>
        </w:rPr>
        <w:t xml:space="preserve">Based on the discussion in section </w:t>
      </w:r>
      <w:r w:rsidRPr="00C01AB6">
        <w:rPr>
          <w:b w:val="0"/>
          <w:highlight w:val="cyan"/>
        </w:rPr>
        <w:fldChar w:fldCharType="begin"/>
      </w:r>
      <w:r w:rsidRPr="00C01AB6">
        <w:rPr>
          <w:b w:val="0"/>
        </w:rPr>
        <w:instrText xml:space="preserve"> REF _Ref178064866 \r \h </w:instrText>
      </w:r>
      <w:r w:rsidR="00C01AB6">
        <w:rPr>
          <w:b w:val="0"/>
          <w:highlight w:val="cyan"/>
        </w:rPr>
        <w:instrText xml:space="preserve"> \* MERGEFORMAT </w:instrText>
      </w:r>
      <w:r w:rsidRPr="00C01AB6">
        <w:rPr>
          <w:b w:val="0"/>
          <w:highlight w:val="cyan"/>
        </w:rPr>
      </w:r>
      <w:r w:rsidRPr="00C01AB6">
        <w:rPr>
          <w:b w:val="0"/>
          <w:highlight w:val="cyan"/>
        </w:rPr>
        <w:fldChar w:fldCharType="separate"/>
      </w:r>
      <w:r w:rsidR="00177016" w:rsidRPr="00C01AB6">
        <w:rPr>
          <w:b w:val="0"/>
        </w:rPr>
        <w:t>2</w:t>
      </w:r>
      <w:r w:rsidRPr="00C01AB6">
        <w:rPr>
          <w:b w:val="0"/>
          <w:highlight w:val="cyan"/>
        </w:rPr>
        <w:fldChar w:fldCharType="end"/>
      </w:r>
      <w:r w:rsidRPr="00C01AB6">
        <w:rPr>
          <w:b w:val="0"/>
        </w:rPr>
        <w:t xml:space="preserve"> we propose the following:</w:t>
      </w:r>
    </w:p>
    <w:p w14:paraId="534814C7" w14:textId="5A6A3712" w:rsidR="00E10963" w:rsidRPr="00C01AB6"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E10963">
        <w:t>Proposal 1</w:t>
      </w:r>
      <w:r w:rsidR="00E10963" w:rsidRPr="00C01AB6">
        <w:rPr>
          <w:rFonts w:asciiTheme="minorHAnsi" w:eastAsiaTheme="minorEastAsia" w:hAnsiTheme="minorHAnsi" w:cstheme="minorBidi"/>
          <w:b w:val="0"/>
          <w:sz w:val="22"/>
          <w:lang w:eastAsia="sv-SE"/>
        </w:rPr>
        <w:tab/>
      </w:r>
      <w:r w:rsidR="00E10963">
        <w:t>There is no need to explicitly state which search space the UE is monitoring or receiving PDCCH on for BFR in the RACH procedure in 38.321.</w:t>
      </w:r>
    </w:p>
    <w:p w14:paraId="27DDF00D" w14:textId="77777777" w:rsidR="008E065E" w:rsidRPr="00CE0424" w:rsidRDefault="008E065E" w:rsidP="008E065E">
      <w:pPr>
        <w:rPr>
          <w:b/>
          <w:bCs/>
        </w:rPr>
      </w:pPr>
      <w:r>
        <w:rPr>
          <w:b/>
          <w:bCs/>
        </w:rPr>
        <w:fldChar w:fldCharType="end"/>
      </w:r>
    </w:p>
    <w:p w14:paraId="5B97C159" w14:textId="77777777" w:rsidR="00F507D1" w:rsidRPr="00CE0424" w:rsidRDefault="00F507D1" w:rsidP="00CE0424">
      <w:pPr>
        <w:pStyle w:val="Heading1"/>
      </w:pPr>
      <w:bookmarkStart w:id="13" w:name="_In-sequence_SDU_delivery"/>
      <w:bookmarkStart w:id="14" w:name="_GoBack"/>
      <w:bookmarkEnd w:id="13"/>
      <w:bookmarkEnd w:id="14"/>
      <w:r w:rsidRPr="00CE0424">
        <w:t>References</w:t>
      </w:r>
    </w:p>
    <w:p w14:paraId="67E16944" w14:textId="5B497C23" w:rsidR="005F3025" w:rsidRPr="00CE0424" w:rsidRDefault="00A354E4" w:rsidP="00311702">
      <w:pPr>
        <w:pStyle w:val="Reference"/>
      </w:pPr>
      <w:bookmarkStart w:id="15" w:name="_Ref516817091"/>
      <w:bookmarkStart w:id="16" w:name="_Ref174151459"/>
      <w:bookmarkStart w:id="17" w:name="_Ref189809556"/>
      <w:r w:rsidRPr="00A354E4">
        <w:t>R2-18</w:t>
      </w:r>
      <w:r w:rsidRPr="00A354E4">
        <w:rPr>
          <w:rFonts w:hint="eastAsia"/>
        </w:rPr>
        <w:t>0</w:t>
      </w:r>
      <w:r w:rsidRPr="00A354E4">
        <w:t>8763</w:t>
      </w:r>
      <w:r w:rsidR="005F3025" w:rsidRPr="00CE0424">
        <w:t xml:space="preserve">, </w:t>
      </w:r>
      <w:r w:rsidRPr="00A354E4">
        <w:t>Inconsistency between RAN1 and RAN2 on BFR termination</w:t>
      </w:r>
      <w:r w:rsidR="005F3025" w:rsidRPr="00CE0424">
        <w:t xml:space="preserve">, </w:t>
      </w:r>
      <w:r w:rsidRPr="00A354E4">
        <w:t>CATT</w:t>
      </w:r>
      <w:r w:rsidR="005F3025" w:rsidRPr="00CE0424">
        <w:t xml:space="preserve">, </w:t>
      </w:r>
      <w:r w:rsidRPr="00A354E4">
        <w:t>3GPP TSG-RAN WG2</w:t>
      </w:r>
      <w:r w:rsidRPr="00A354E4">
        <w:rPr>
          <w:rFonts w:hint="eastAsia"/>
        </w:rPr>
        <w:t>#10</w:t>
      </w:r>
      <w:r w:rsidRPr="00A354E4">
        <w:t>2</w:t>
      </w:r>
      <w:r w:rsidR="005F3025" w:rsidRPr="00CE0424">
        <w:t xml:space="preserve">, </w:t>
      </w:r>
      <w:bookmarkEnd w:id="15"/>
      <w:r w:rsidRPr="00A354E4">
        <w:t xml:space="preserve">21th – </w:t>
      </w:r>
      <w:r w:rsidRPr="00A354E4">
        <w:rPr>
          <w:rFonts w:hint="eastAsia"/>
        </w:rPr>
        <w:t>2</w:t>
      </w:r>
      <w:r w:rsidRPr="00A354E4">
        <w:t>5th May 2018</w:t>
      </w:r>
    </w:p>
    <w:bookmarkEnd w:id="16"/>
    <w:bookmarkEnd w:id="17"/>
    <w:p w14:paraId="34ACBD6C"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2148C" w14:textId="77777777" w:rsidR="00A554B1" w:rsidRDefault="00A554B1">
      <w:r>
        <w:separator/>
      </w:r>
    </w:p>
  </w:endnote>
  <w:endnote w:type="continuationSeparator" w:id="0">
    <w:p w14:paraId="7C52E475" w14:textId="77777777" w:rsidR="00A554B1" w:rsidRDefault="00A554B1">
      <w:r>
        <w:continuationSeparator/>
      </w:r>
    </w:p>
  </w:endnote>
  <w:endnote w:type="continuationNotice" w:id="1">
    <w:p w14:paraId="6596C301" w14:textId="77777777" w:rsidR="00A554B1" w:rsidRDefault="00A554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BD48"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49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499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02FE1" w14:textId="77777777" w:rsidR="00A554B1" w:rsidRDefault="00A554B1">
      <w:r>
        <w:separator/>
      </w:r>
    </w:p>
  </w:footnote>
  <w:footnote w:type="continuationSeparator" w:id="0">
    <w:p w14:paraId="6756D6DB" w14:textId="77777777" w:rsidR="00A554B1" w:rsidRDefault="00A554B1">
      <w:r>
        <w:continuationSeparator/>
      </w:r>
    </w:p>
  </w:footnote>
  <w:footnote w:type="continuationNotice" w:id="1">
    <w:p w14:paraId="2CB12F2D" w14:textId="77777777" w:rsidR="00A554B1" w:rsidRDefault="00A554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9109C"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016"/>
    <w:rsid w:val="000006E1"/>
    <w:rsid w:val="00002A37"/>
    <w:rsid w:val="000039F4"/>
    <w:rsid w:val="00006446"/>
    <w:rsid w:val="00006896"/>
    <w:rsid w:val="00007CDC"/>
    <w:rsid w:val="00011B28"/>
    <w:rsid w:val="000151AE"/>
    <w:rsid w:val="00015D15"/>
    <w:rsid w:val="0002564D"/>
    <w:rsid w:val="00025ECA"/>
    <w:rsid w:val="000325B8"/>
    <w:rsid w:val="00034C15"/>
    <w:rsid w:val="00036BA1"/>
    <w:rsid w:val="000422E2"/>
    <w:rsid w:val="00042F22"/>
    <w:rsid w:val="000444EF"/>
    <w:rsid w:val="00044C53"/>
    <w:rsid w:val="00044D01"/>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35D0"/>
    <w:rsid w:val="001659C1"/>
    <w:rsid w:val="00173A8E"/>
    <w:rsid w:val="00177016"/>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3835"/>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4CE"/>
    <w:rsid w:val="002224DB"/>
    <w:rsid w:val="00223FCB"/>
    <w:rsid w:val="002252C3"/>
    <w:rsid w:val="00225C54"/>
    <w:rsid w:val="00230765"/>
    <w:rsid w:val="002319E4"/>
    <w:rsid w:val="00235632"/>
    <w:rsid w:val="00235872"/>
    <w:rsid w:val="00241559"/>
    <w:rsid w:val="00241562"/>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97F5C"/>
    <w:rsid w:val="002A055E"/>
    <w:rsid w:val="002A1D4E"/>
    <w:rsid w:val="002A2869"/>
    <w:rsid w:val="002B24D6"/>
    <w:rsid w:val="002C41E6"/>
    <w:rsid w:val="002D071A"/>
    <w:rsid w:val="002D34B2"/>
    <w:rsid w:val="002D732B"/>
    <w:rsid w:val="002D7637"/>
    <w:rsid w:val="002E17F2"/>
    <w:rsid w:val="002E7CAE"/>
    <w:rsid w:val="002F2771"/>
    <w:rsid w:val="002F37A9"/>
    <w:rsid w:val="002F5960"/>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393D"/>
    <w:rsid w:val="003A45A1"/>
    <w:rsid w:val="003A5B0A"/>
    <w:rsid w:val="003A6BAC"/>
    <w:rsid w:val="003A7EF3"/>
    <w:rsid w:val="003B159C"/>
    <w:rsid w:val="003B369F"/>
    <w:rsid w:val="003B36A3"/>
    <w:rsid w:val="003B460B"/>
    <w:rsid w:val="003B7FE5"/>
    <w:rsid w:val="003C11C8"/>
    <w:rsid w:val="003C2702"/>
    <w:rsid w:val="003C55D6"/>
    <w:rsid w:val="003C7806"/>
    <w:rsid w:val="003D109F"/>
    <w:rsid w:val="003D1506"/>
    <w:rsid w:val="003D2478"/>
    <w:rsid w:val="003D3C45"/>
    <w:rsid w:val="003D5B1F"/>
    <w:rsid w:val="003E15FA"/>
    <w:rsid w:val="003E55E4"/>
    <w:rsid w:val="003E74E3"/>
    <w:rsid w:val="003F05C7"/>
    <w:rsid w:val="003F2CD4"/>
    <w:rsid w:val="003F6BBE"/>
    <w:rsid w:val="004000E8"/>
    <w:rsid w:val="00402E2B"/>
    <w:rsid w:val="00404F76"/>
    <w:rsid w:val="0040512B"/>
    <w:rsid w:val="00405CA5"/>
    <w:rsid w:val="00407CD3"/>
    <w:rsid w:val="00410134"/>
    <w:rsid w:val="00410B72"/>
    <w:rsid w:val="00410F18"/>
    <w:rsid w:val="0041263E"/>
    <w:rsid w:val="00413AAC"/>
    <w:rsid w:val="00417E40"/>
    <w:rsid w:val="00421105"/>
    <w:rsid w:val="004242F4"/>
    <w:rsid w:val="00424567"/>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57C8"/>
    <w:rsid w:val="004E76F4"/>
    <w:rsid w:val="004F0B4E"/>
    <w:rsid w:val="004F0B6C"/>
    <w:rsid w:val="004F2078"/>
    <w:rsid w:val="004F3EB4"/>
    <w:rsid w:val="004F4DA3"/>
    <w:rsid w:val="00506557"/>
    <w:rsid w:val="0050677A"/>
    <w:rsid w:val="005108D8"/>
    <w:rsid w:val="005116F9"/>
    <w:rsid w:val="00513364"/>
    <w:rsid w:val="005153A7"/>
    <w:rsid w:val="005219CF"/>
    <w:rsid w:val="00523BC0"/>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4ECF"/>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5EC"/>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1120"/>
    <w:rsid w:val="00655733"/>
    <w:rsid w:val="00655ACD"/>
    <w:rsid w:val="00656A92"/>
    <w:rsid w:val="00656DDE"/>
    <w:rsid w:val="0066011D"/>
    <w:rsid w:val="006607C0"/>
    <w:rsid w:val="006613A6"/>
    <w:rsid w:val="006627A2"/>
    <w:rsid w:val="006634E6"/>
    <w:rsid w:val="00663A0E"/>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5337"/>
    <w:rsid w:val="006938E0"/>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22D"/>
    <w:rsid w:val="006F58D4"/>
    <w:rsid w:val="00700EF5"/>
    <w:rsid w:val="0070346E"/>
    <w:rsid w:val="00704EDB"/>
    <w:rsid w:val="00705F11"/>
    <w:rsid w:val="00706101"/>
    <w:rsid w:val="00707072"/>
    <w:rsid w:val="00707D61"/>
    <w:rsid w:val="00712287"/>
    <w:rsid w:val="00712772"/>
    <w:rsid w:val="007148D3"/>
    <w:rsid w:val="00715B9A"/>
    <w:rsid w:val="00726EA6"/>
    <w:rsid w:val="00727208"/>
    <w:rsid w:val="00727680"/>
    <w:rsid w:val="00733C3E"/>
    <w:rsid w:val="007348B1"/>
    <w:rsid w:val="007362A6"/>
    <w:rsid w:val="00736D7D"/>
    <w:rsid w:val="00740E58"/>
    <w:rsid w:val="007445A0"/>
    <w:rsid w:val="0074524B"/>
    <w:rsid w:val="00747D8B"/>
    <w:rsid w:val="00750D98"/>
    <w:rsid w:val="00751228"/>
    <w:rsid w:val="007571E1"/>
    <w:rsid w:val="007604B2"/>
    <w:rsid w:val="007626D7"/>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1F23"/>
    <w:rsid w:val="007B3D2D"/>
    <w:rsid w:val="007B50AE"/>
    <w:rsid w:val="007B51DF"/>
    <w:rsid w:val="007B7A62"/>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0BCC"/>
    <w:rsid w:val="008235DB"/>
    <w:rsid w:val="00824834"/>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30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3339"/>
    <w:rsid w:val="00994DCA"/>
    <w:rsid w:val="009960EC"/>
    <w:rsid w:val="009970DD"/>
    <w:rsid w:val="009A0FBA"/>
    <w:rsid w:val="009A1601"/>
    <w:rsid w:val="009A462D"/>
    <w:rsid w:val="009A5CBA"/>
    <w:rsid w:val="009B1F30"/>
    <w:rsid w:val="009B3AC2"/>
    <w:rsid w:val="009B4DF4"/>
    <w:rsid w:val="009B564E"/>
    <w:rsid w:val="009B7E87"/>
    <w:rsid w:val="009C403E"/>
    <w:rsid w:val="009D2143"/>
    <w:rsid w:val="009D33AA"/>
    <w:rsid w:val="009D4FF0"/>
    <w:rsid w:val="009D703C"/>
    <w:rsid w:val="009D718F"/>
    <w:rsid w:val="009E068F"/>
    <w:rsid w:val="009E14E0"/>
    <w:rsid w:val="009E35DB"/>
    <w:rsid w:val="009E47A3"/>
    <w:rsid w:val="009F08F3"/>
    <w:rsid w:val="009F2D67"/>
    <w:rsid w:val="009F344F"/>
    <w:rsid w:val="00A02074"/>
    <w:rsid w:val="00A048A8"/>
    <w:rsid w:val="00A04F49"/>
    <w:rsid w:val="00A13E54"/>
    <w:rsid w:val="00A17F63"/>
    <w:rsid w:val="00A2052C"/>
    <w:rsid w:val="00A2193B"/>
    <w:rsid w:val="00A2351A"/>
    <w:rsid w:val="00A264A9"/>
    <w:rsid w:val="00A27785"/>
    <w:rsid w:val="00A30187"/>
    <w:rsid w:val="00A3448A"/>
    <w:rsid w:val="00A354E4"/>
    <w:rsid w:val="00A36297"/>
    <w:rsid w:val="00A41E2B"/>
    <w:rsid w:val="00A44C7E"/>
    <w:rsid w:val="00A45B74"/>
    <w:rsid w:val="00A52E1D"/>
    <w:rsid w:val="00A554B1"/>
    <w:rsid w:val="00A61499"/>
    <w:rsid w:val="00A62A77"/>
    <w:rsid w:val="00A63483"/>
    <w:rsid w:val="00A657D7"/>
    <w:rsid w:val="00A660AC"/>
    <w:rsid w:val="00A66F55"/>
    <w:rsid w:val="00A67E6C"/>
    <w:rsid w:val="00A71B99"/>
    <w:rsid w:val="00A739D0"/>
    <w:rsid w:val="00A761D4"/>
    <w:rsid w:val="00A77EC4"/>
    <w:rsid w:val="00A91E90"/>
    <w:rsid w:val="00A92879"/>
    <w:rsid w:val="00A9442A"/>
    <w:rsid w:val="00AA016F"/>
    <w:rsid w:val="00AA1ED6"/>
    <w:rsid w:val="00AA51D6"/>
    <w:rsid w:val="00AB0BC8"/>
    <w:rsid w:val="00AB11CA"/>
    <w:rsid w:val="00AB14D9"/>
    <w:rsid w:val="00AB4AB8"/>
    <w:rsid w:val="00AB655E"/>
    <w:rsid w:val="00AC007F"/>
    <w:rsid w:val="00AC2ECD"/>
    <w:rsid w:val="00AC3119"/>
    <w:rsid w:val="00AC3E9C"/>
    <w:rsid w:val="00AC49FB"/>
    <w:rsid w:val="00AC4F06"/>
    <w:rsid w:val="00AC5A10"/>
    <w:rsid w:val="00AD0AA3"/>
    <w:rsid w:val="00AD3F94"/>
    <w:rsid w:val="00AD4A5A"/>
    <w:rsid w:val="00AE077E"/>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4996"/>
    <w:rsid w:val="00B372AA"/>
    <w:rsid w:val="00B40445"/>
    <w:rsid w:val="00B41888"/>
    <w:rsid w:val="00B45A52"/>
    <w:rsid w:val="00B46175"/>
    <w:rsid w:val="00B6188F"/>
    <w:rsid w:val="00B664C7"/>
    <w:rsid w:val="00B71961"/>
    <w:rsid w:val="00B739F6"/>
    <w:rsid w:val="00B81A6C"/>
    <w:rsid w:val="00B85DE5"/>
    <w:rsid w:val="00B90F73"/>
    <w:rsid w:val="00B93B59"/>
    <w:rsid w:val="00B9406A"/>
    <w:rsid w:val="00BA2280"/>
    <w:rsid w:val="00BA2A08"/>
    <w:rsid w:val="00BA56D2"/>
    <w:rsid w:val="00BA76E0"/>
    <w:rsid w:val="00BB2A25"/>
    <w:rsid w:val="00BB3E37"/>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AB6"/>
    <w:rsid w:val="00C01F33"/>
    <w:rsid w:val="00C02CC6"/>
    <w:rsid w:val="00C040F7"/>
    <w:rsid w:val="00C041B0"/>
    <w:rsid w:val="00C044AB"/>
    <w:rsid w:val="00C05706"/>
    <w:rsid w:val="00C07377"/>
    <w:rsid w:val="00C10478"/>
    <w:rsid w:val="00C12107"/>
    <w:rsid w:val="00C14D4B"/>
    <w:rsid w:val="00C154BB"/>
    <w:rsid w:val="00C23D8C"/>
    <w:rsid w:val="00C24345"/>
    <w:rsid w:val="00C279B5"/>
    <w:rsid w:val="00C27C45"/>
    <w:rsid w:val="00C3719D"/>
    <w:rsid w:val="00C53C12"/>
    <w:rsid w:val="00C54995"/>
    <w:rsid w:val="00C54D41"/>
    <w:rsid w:val="00C60783"/>
    <w:rsid w:val="00C61D85"/>
    <w:rsid w:val="00C64672"/>
    <w:rsid w:val="00C70697"/>
    <w:rsid w:val="00C72EF4"/>
    <w:rsid w:val="00C75D2F"/>
    <w:rsid w:val="00C767BE"/>
    <w:rsid w:val="00C76E3C"/>
    <w:rsid w:val="00C81568"/>
    <w:rsid w:val="00C9027A"/>
    <w:rsid w:val="00C9068E"/>
    <w:rsid w:val="00C93C4B"/>
    <w:rsid w:val="00C944AB"/>
    <w:rsid w:val="00C94A77"/>
    <w:rsid w:val="00C95B40"/>
    <w:rsid w:val="00CA1ED8"/>
    <w:rsid w:val="00CB1F63"/>
    <w:rsid w:val="00CB7170"/>
    <w:rsid w:val="00CC040E"/>
    <w:rsid w:val="00CC111F"/>
    <w:rsid w:val="00CC2011"/>
    <w:rsid w:val="00CC3EA0"/>
    <w:rsid w:val="00CC7B45"/>
    <w:rsid w:val="00CD1188"/>
    <w:rsid w:val="00CD2236"/>
    <w:rsid w:val="00CD2ED1"/>
    <w:rsid w:val="00CD337B"/>
    <w:rsid w:val="00CE0424"/>
    <w:rsid w:val="00CE7561"/>
    <w:rsid w:val="00CF1354"/>
    <w:rsid w:val="00CF3B1F"/>
    <w:rsid w:val="00CF3BF6"/>
    <w:rsid w:val="00CF492A"/>
    <w:rsid w:val="00CF625B"/>
    <w:rsid w:val="00CF687E"/>
    <w:rsid w:val="00D0349B"/>
    <w:rsid w:val="00D052E2"/>
    <w:rsid w:val="00D10249"/>
    <w:rsid w:val="00D115C3"/>
    <w:rsid w:val="00D11897"/>
    <w:rsid w:val="00D13135"/>
    <w:rsid w:val="00D13E4E"/>
    <w:rsid w:val="00D225B8"/>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4A09"/>
    <w:rsid w:val="00D84BBE"/>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0963"/>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3384"/>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A69"/>
    <w:rsid w:val="00EA7A41"/>
    <w:rsid w:val="00EB077B"/>
    <w:rsid w:val="00EB4EA2"/>
    <w:rsid w:val="00EC27C6"/>
    <w:rsid w:val="00EC3A95"/>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679"/>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511A"/>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D85840"/>
  <w15:chartTrackingRefBased/>
  <w15:docId w15:val="{816B3886-0B39-40A1-A506-BB45EF136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2483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2483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2483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24834"/>
    <w:pPr>
      <w:numPr>
        <w:ilvl w:val="2"/>
      </w:numPr>
      <w:spacing w:before="120"/>
      <w:outlineLvl w:val="2"/>
    </w:pPr>
    <w:rPr>
      <w:sz w:val="28"/>
      <w:szCs w:val="28"/>
    </w:rPr>
  </w:style>
  <w:style w:type="paragraph" w:styleId="Heading4">
    <w:name w:val="heading 4"/>
    <w:basedOn w:val="Heading3"/>
    <w:next w:val="Normal"/>
    <w:qFormat/>
    <w:rsid w:val="00824834"/>
    <w:pPr>
      <w:numPr>
        <w:ilvl w:val="3"/>
      </w:numPr>
      <w:outlineLvl w:val="3"/>
    </w:pPr>
    <w:rPr>
      <w:sz w:val="24"/>
      <w:szCs w:val="24"/>
    </w:rPr>
  </w:style>
  <w:style w:type="paragraph" w:styleId="Heading5">
    <w:name w:val="heading 5"/>
    <w:basedOn w:val="Heading4"/>
    <w:next w:val="Normal"/>
    <w:qFormat/>
    <w:rsid w:val="00824834"/>
    <w:pPr>
      <w:numPr>
        <w:ilvl w:val="4"/>
      </w:numPr>
      <w:outlineLvl w:val="4"/>
    </w:pPr>
    <w:rPr>
      <w:sz w:val="22"/>
      <w:szCs w:val="22"/>
    </w:rPr>
  </w:style>
  <w:style w:type="paragraph" w:styleId="Heading6">
    <w:name w:val="heading 6"/>
    <w:basedOn w:val="Normal"/>
    <w:next w:val="Normal"/>
    <w:qFormat/>
    <w:rsid w:val="00824834"/>
    <w:pPr>
      <w:keepNext/>
      <w:keepLines/>
      <w:numPr>
        <w:ilvl w:val="5"/>
        <w:numId w:val="1"/>
      </w:numPr>
      <w:spacing w:before="120"/>
      <w:outlineLvl w:val="5"/>
    </w:pPr>
    <w:rPr>
      <w:rFonts w:cs="Arial"/>
    </w:rPr>
  </w:style>
  <w:style w:type="paragraph" w:styleId="Heading7">
    <w:name w:val="heading 7"/>
    <w:basedOn w:val="Normal"/>
    <w:next w:val="Normal"/>
    <w:qFormat/>
    <w:rsid w:val="00824834"/>
    <w:pPr>
      <w:keepNext/>
      <w:keepLines/>
      <w:numPr>
        <w:ilvl w:val="6"/>
        <w:numId w:val="1"/>
      </w:numPr>
      <w:spacing w:before="120"/>
      <w:outlineLvl w:val="6"/>
    </w:pPr>
    <w:rPr>
      <w:rFonts w:cs="Arial"/>
    </w:rPr>
  </w:style>
  <w:style w:type="paragraph" w:styleId="Heading8">
    <w:name w:val="heading 8"/>
    <w:basedOn w:val="Heading7"/>
    <w:next w:val="Normal"/>
    <w:qFormat/>
    <w:rsid w:val="00824834"/>
    <w:pPr>
      <w:numPr>
        <w:ilvl w:val="7"/>
      </w:numPr>
      <w:outlineLvl w:val="7"/>
    </w:pPr>
  </w:style>
  <w:style w:type="paragraph" w:styleId="Heading9">
    <w:name w:val="heading 9"/>
    <w:basedOn w:val="Heading8"/>
    <w:next w:val="Normal"/>
    <w:qFormat/>
    <w:rsid w:val="0082483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24834"/>
    <w:pPr>
      <w:spacing w:before="180"/>
      <w:ind w:left="2693" w:hanging="2693"/>
    </w:pPr>
    <w:rPr>
      <w:b w:val="0"/>
      <w:bCs/>
    </w:rPr>
  </w:style>
  <w:style w:type="paragraph" w:styleId="TOC1">
    <w:name w:val="toc 1"/>
    <w:aliases w:val="Observation TOC2"/>
    <w:uiPriority w:val="39"/>
    <w:rsid w:val="0082483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24834"/>
    <w:pPr>
      <w:keepNext/>
      <w:keepLines/>
      <w:spacing w:before="180"/>
      <w:jc w:val="center"/>
    </w:pPr>
  </w:style>
  <w:style w:type="paragraph" w:styleId="Caption">
    <w:name w:val="caption"/>
    <w:basedOn w:val="Normal"/>
    <w:next w:val="Normal"/>
    <w:qFormat/>
    <w:rsid w:val="00824834"/>
    <w:pPr>
      <w:spacing w:after="240"/>
      <w:jc w:val="center"/>
    </w:pPr>
    <w:rPr>
      <w:b/>
      <w:bCs/>
    </w:rPr>
  </w:style>
  <w:style w:type="paragraph" w:styleId="TOC5">
    <w:name w:val="toc 5"/>
    <w:aliases w:val="Observation TOC"/>
    <w:basedOn w:val="TOC4"/>
    <w:semiHidden/>
    <w:rsid w:val="00824834"/>
    <w:pPr>
      <w:tabs>
        <w:tab w:val="right" w:pos="1701"/>
      </w:tabs>
      <w:ind w:left="1701" w:hanging="1701"/>
    </w:pPr>
  </w:style>
  <w:style w:type="paragraph" w:styleId="TOC4">
    <w:name w:val="toc 4"/>
    <w:basedOn w:val="TOC3"/>
    <w:semiHidden/>
    <w:rsid w:val="00824834"/>
    <w:pPr>
      <w:ind w:left="1418" w:hanging="1418"/>
    </w:pPr>
  </w:style>
  <w:style w:type="paragraph" w:styleId="TOC3">
    <w:name w:val="toc 3"/>
    <w:basedOn w:val="TOC2"/>
    <w:semiHidden/>
    <w:rsid w:val="00824834"/>
    <w:pPr>
      <w:ind w:left="1134" w:hanging="1134"/>
    </w:pPr>
  </w:style>
  <w:style w:type="paragraph" w:styleId="TOC2">
    <w:name w:val="toc 2"/>
    <w:basedOn w:val="TOC1"/>
    <w:semiHidden/>
    <w:rsid w:val="00824834"/>
    <w:pPr>
      <w:keepNext w:val="0"/>
      <w:spacing w:before="0"/>
      <w:ind w:left="851" w:hanging="851"/>
    </w:pPr>
    <w:rPr>
      <w:szCs w:val="20"/>
    </w:rPr>
  </w:style>
  <w:style w:type="paragraph" w:styleId="Index2">
    <w:name w:val="index 2"/>
    <w:basedOn w:val="Index1"/>
    <w:semiHidden/>
    <w:rsid w:val="00824834"/>
    <w:pPr>
      <w:ind w:left="284"/>
    </w:pPr>
  </w:style>
  <w:style w:type="paragraph" w:styleId="Index1">
    <w:name w:val="index 1"/>
    <w:basedOn w:val="Normal"/>
    <w:semiHidden/>
    <w:rsid w:val="00824834"/>
    <w:pPr>
      <w:keepLines/>
      <w:spacing w:after="0"/>
    </w:pPr>
  </w:style>
  <w:style w:type="paragraph" w:styleId="DocumentMap">
    <w:name w:val="Document Map"/>
    <w:basedOn w:val="Normal"/>
    <w:semiHidden/>
    <w:rsid w:val="00824834"/>
    <w:pPr>
      <w:shd w:val="clear" w:color="auto" w:fill="000080"/>
    </w:pPr>
    <w:rPr>
      <w:rFonts w:ascii="Tahoma" w:hAnsi="Tahoma" w:cs="Tahoma"/>
    </w:rPr>
  </w:style>
  <w:style w:type="paragraph" w:styleId="ListNumber2">
    <w:name w:val="List Number 2"/>
    <w:basedOn w:val="ListNumber"/>
    <w:rsid w:val="00824834"/>
    <w:pPr>
      <w:ind w:left="851"/>
    </w:pPr>
  </w:style>
  <w:style w:type="paragraph" w:styleId="ListNumber">
    <w:name w:val="List Number"/>
    <w:basedOn w:val="List"/>
    <w:rsid w:val="00824834"/>
  </w:style>
  <w:style w:type="paragraph" w:styleId="List">
    <w:name w:val="List"/>
    <w:basedOn w:val="Normal"/>
    <w:rsid w:val="00824834"/>
    <w:pPr>
      <w:ind w:left="568" w:hanging="284"/>
    </w:pPr>
  </w:style>
  <w:style w:type="paragraph" w:styleId="Header">
    <w:name w:val="header"/>
    <w:rsid w:val="0082483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24834"/>
    <w:rPr>
      <w:b/>
      <w:bCs/>
      <w:position w:val="6"/>
      <w:sz w:val="16"/>
      <w:szCs w:val="16"/>
    </w:rPr>
  </w:style>
  <w:style w:type="paragraph" w:styleId="FootnoteText">
    <w:name w:val="footnote text"/>
    <w:basedOn w:val="Normal"/>
    <w:semiHidden/>
    <w:rsid w:val="00824834"/>
    <w:pPr>
      <w:keepLines/>
      <w:spacing w:after="0"/>
      <w:ind w:left="454" w:hanging="454"/>
    </w:pPr>
    <w:rPr>
      <w:sz w:val="16"/>
      <w:szCs w:val="16"/>
    </w:rPr>
  </w:style>
  <w:style w:type="paragraph" w:customStyle="1" w:styleId="3GPPHeader">
    <w:name w:val="3GPP_Header"/>
    <w:basedOn w:val="Normal"/>
    <w:rsid w:val="00824834"/>
    <w:pPr>
      <w:tabs>
        <w:tab w:val="left" w:pos="1701"/>
        <w:tab w:val="right" w:pos="9639"/>
      </w:tabs>
      <w:spacing w:after="240"/>
    </w:pPr>
    <w:rPr>
      <w:b/>
      <w:sz w:val="24"/>
    </w:rPr>
  </w:style>
  <w:style w:type="paragraph" w:styleId="TOC9">
    <w:name w:val="toc 9"/>
    <w:basedOn w:val="TOC8"/>
    <w:semiHidden/>
    <w:rsid w:val="00824834"/>
    <w:pPr>
      <w:ind w:left="1418" w:hanging="1418"/>
    </w:pPr>
  </w:style>
  <w:style w:type="paragraph" w:styleId="TOC6">
    <w:name w:val="toc 6"/>
    <w:basedOn w:val="TOC5"/>
    <w:next w:val="Normal"/>
    <w:semiHidden/>
    <w:rsid w:val="00824834"/>
    <w:pPr>
      <w:ind w:left="1985" w:hanging="1985"/>
    </w:pPr>
  </w:style>
  <w:style w:type="paragraph" w:styleId="TOC7">
    <w:name w:val="toc 7"/>
    <w:basedOn w:val="TOC6"/>
    <w:next w:val="Normal"/>
    <w:semiHidden/>
    <w:rsid w:val="00824834"/>
    <w:pPr>
      <w:ind w:left="2268" w:hanging="2268"/>
    </w:pPr>
  </w:style>
  <w:style w:type="paragraph" w:styleId="ListBullet2">
    <w:name w:val="List Bullet 2"/>
    <w:basedOn w:val="ListBullet"/>
    <w:rsid w:val="00824834"/>
    <w:pPr>
      <w:numPr>
        <w:numId w:val="6"/>
      </w:numPr>
    </w:pPr>
  </w:style>
  <w:style w:type="paragraph" w:styleId="ListBullet">
    <w:name w:val="List Bullet"/>
    <w:basedOn w:val="BodyText"/>
    <w:rsid w:val="00824834"/>
    <w:pPr>
      <w:numPr>
        <w:numId w:val="5"/>
      </w:numPr>
    </w:pPr>
  </w:style>
  <w:style w:type="paragraph" w:styleId="ListBullet3">
    <w:name w:val="List Bullet 3"/>
    <w:basedOn w:val="ListBullet2"/>
    <w:rsid w:val="00824834"/>
    <w:pPr>
      <w:numPr>
        <w:numId w:val="7"/>
      </w:numPr>
    </w:pPr>
  </w:style>
  <w:style w:type="paragraph" w:customStyle="1" w:styleId="EQ">
    <w:name w:val="EQ"/>
    <w:basedOn w:val="Normal"/>
    <w:next w:val="Normal"/>
    <w:rsid w:val="00824834"/>
    <w:pPr>
      <w:keepLines/>
      <w:tabs>
        <w:tab w:val="center" w:pos="4536"/>
        <w:tab w:val="right" w:pos="9072"/>
      </w:tabs>
      <w:spacing w:after="180"/>
      <w:jc w:val="left"/>
    </w:pPr>
    <w:rPr>
      <w:noProof/>
      <w:lang w:eastAsia="en-US"/>
    </w:rPr>
  </w:style>
  <w:style w:type="paragraph" w:styleId="List2">
    <w:name w:val="List 2"/>
    <w:basedOn w:val="List"/>
    <w:rsid w:val="00824834"/>
    <w:pPr>
      <w:ind w:left="851"/>
    </w:pPr>
  </w:style>
  <w:style w:type="paragraph" w:styleId="List3">
    <w:name w:val="List 3"/>
    <w:basedOn w:val="List2"/>
    <w:rsid w:val="00824834"/>
    <w:pPr>
      <w:ind w:left="1135"/>
    </w:pPr>
  </w:style>
  <w:style w:type="paragraph" w:styleId="List4">
    <w:name w:val="List 4"/>
    <w:basedOn w:val="List3"/>
    <w:rsid w:val="00824834"/>
    <w:pPr>
      <w:ind w:left="1418"/>
    </w:pPr>
  </w:style>
  <w:style w:type="paragraph" w:styleId="List5">
    <w:name w:val="List 5"/>
    <w:basedOn w:val="List4"/>
    <w:rsid w:val="00824834"/>
    <w:pPr>
      <w:ind w:left="1702"/>
    </w:pPr>
  </w:style>
  <w:style w:type="paragraph" w:customStyle="1" w:styleId="EditorsNote">
    <w:name w:val="Editor's Note"/>
    <w:basedOn w:val="Normal"/>
    <w:rsid w:val="00824834"/>
    <w:pPr>
      <w:keepLines/>
      <w:spacing w:after="180"/>
      <w:ind w:left="1135" w:hanging="851"/>
      <w:jc w:val="left"/>
    </w:pPr>
    <w:rPr>
      <w:color w:val="FF0000"/>
      <w:lang w:eastAsia="en-US"/>
    </w:rPr>
  </w:style>
  <w:style w:type="paragraph" w:styleId="ListBullet4">
    <w:name w:val="List Bullet 4"/>
    <w:basedOn w:val="ListBullet3"/>
    <w:rsid w:val="00824834"/>
    <w:pPr>
      <w:numPr>
        <w:numId w:val="8"/>
      </w:numPr>
    </w:pPr>
  </w:style>
  <w:style w:type="paragraph" w:styleId="ListBullet5">
    <w:name w:val="List Bullet 5"/>
    <w:basedOn w:val="ListBullet4"/>
    <w:rsid w:val="00824834"/>
    <w:pPr>
      <w:numPr>
        <w:numId w:val="4"/>
      </w:numPr>
    </w:pPr>
  </w:style>
  <w:style w:type="paragraph" w:styleId="Footer">
    <w:name w:val="footer"/>
    <w:basedOn w:val="Header"/>
    <w:semiHidden/>
    <w:rsid w:val="00824834"/>
    <w:pPr>
      <w:jc w:val="center"/>
    </w:pPr>
    <w:rPr>
      <w:i/>
      <w:iCs/>
    </w:rPr>
  </w:style>
  <w:style w:type="paragraph" w:customStyle="1" w:styleId="Reference">
    <w:name w:val="Reference"/>
    <w:basedOn w:val="Normal"/>
    <w:rsid w:val="00824834"/>
    <w:pPr>
      <w:numPr>
        <w:numId w:val="2"/>
      </w:numPr>
    </w:pPr>
  </w:style>
  <w:style w:type="paragraph" w:styleId="BalloonText">
    <w:name w:val="Balloon Text"/>
    <w:basedOn w:val="Normal"/>
    <w:semiHidden/>
    <w:rsid w:val="00824834"/>
    <w:rPr>
      <w:rFonts w:ascii="Tahoma" w:hAnsi="Tahoma" w:cs="Tahoma"/>
      <w:sz w:val="16"/>
      <w:szCs w:val="16"/>
    </w:rPr>
  </w:style>
  <w:style w:type="character" w:styleId="PageNumber">
    <w:name w:val="page number"/>
    <w:basedOn w:val="DefaultParagraphFont"/>
    <w:semiHidden/>
    <w:rsid w:val="00824834"/>
  </w:style>
  <w:style w:type="paragraph" w:styleId="BodyText">
    <w:name w:val="Body Text"/>
    <w:basedOn w:val="Normal"/>
    <w:link w:val="BodyTextChar"/>
    <w:rsid w:val="00824834"/>
  </w:style>
  <w:style w:type="character" w:styleId="Hyperlink">
    <w:name w:val="Hyperlink"/>
    <w:uiPriority w:val="99"/>
    <w:rsid w:val="00824834"/>
    <w:rPr>
      <w:color w:val="0000FF"/>
      <w:u w:val="single"/>
      <w:lang w:val="en-GB"/>
    </w:rPr>
  </w:style>
  <w:style w:type="character" w:styleId="FollowedHyperlink">
    <w:name w:val="FollowedHyperlink"/>
    <w:semiHidden/>
    <w:rsid w:val="00824834"/>
    <w:rPr>
      <w:color w:val="FF0000"/>
      <w:u w:val="single"/>
    </w:rPr>
  </w:style>
  <w:style w:type="character" w:styleId="CommentReference">
    <w:name w:val="annotation reference"/>
    <w:semiHidden/>
    <w:rsid w:val="00824834"/>
    <w:rPr>
      <w:sz w:val="16"/>
      <w:szCs w:val="16"/>
    </w:rPr>
  </w:style>
  <w:style w:type="paragraph" w:styleId="CommentText">
    <w:name w:val="annotation text"/>
    <w:basedOn w:val="Normal"/>
    <w:semiHidden/>
    <w:rsid w:val="00824834"/>
  </w:style>
  <w:style w:type="paragraph" w:styleId="CommentSubject">
    <w:name w:val="annotation subject"/>
    <w:basedOn w:val="CommentText"/>
    <w:next w:val="CommentText"/>
    <w:semiHidden/>
    <w:rsid w:val="00824834"/>
    <w:rPr>
      <w:b/>
      <w:bCs/>
    </w:rPr>
  </w:style>
  <w:style w:type="character" w:customStyle="1" w:styleId="Heading1Char">
    <w:name w:val="Heading 1 Char"/>
    <w:link w:val="Heading1"/>
    <w:rsid w:val="00824834"/>
    <w:rPr>
      <w:rFonts w:ascii="Arial" w:hAnsi="Arial" w:cs="Arial"/>
      <w:sz w:val="36"/>
      <w:szCs w:val="36"/>
      <w:lang w:val="en-GB" w:eastAsia="zh-CN"/>
    </w:rPr>
  </w:style>
  <w:style w:type="paragraph" w:customStyle="1" w:styleId="B1">
    <w:name w:val="B1"/>
    <w:basedOn w:val="List"/>
    <w:rsid w:val="00824834"/>
    <w:pPr>
      <w:spacing w:after="180"/>
      <w:jc w:val="left"/>
    </w:pPr>
    <w:rPr>
      <w:lang w:eastAsia="en-US"/>
    </w:rPr>
  </w:style>
  <w:style w:type="paragraph" w:customStyle="1" w:styleId="B2">
    <w:name w:val="B2"/>
    <w:basedOn w:val="List2"/>
    <w:rsid w:val="00824834"/>
    <w:pPr>
      <w:spacing w:after="180"/>
      <w:jc w:val="left"/>
    </w:pPr>
    <w:rPr>
      <w:lang w:eastAsia="en-US"/>
    </w:rPr>
  </w:style>
  <w:style w:type="paragraph" w:customStyle="1" w:styleId="B3">
    <w:name w:val="B3"/>
    <w:basedOn w:val="List3"/>
    <w:rsid w:val="00824834"/>
    <w:pPr>
      <w:spacing w:after="180"/>
      <w:jc w:val="left"/>
    </w:pPr>
    <w:rPr>
      <w:lang w:eastAsia="en-US"/>
    </w:rPr>
  </w:style>
  <w:style w:type="paragraph" w:customStyle="1" w:styleId="B4">
    <w:name w:val="B4"/>
    <w:basedOn w:val="List4"/>
    <w:rsid w:val="00824834"/>
    <w:pPr>
      <w:spacing w:after="180"/>
      <w:jc w:val="left"/>
    </w:pPr>
    <w:rPr>
      <w:lang w:eastAsia="en-US"/>
    </w:rPr>
  </w:style>
  <w:style w:type="paragraph" w:customStyle="1" w:styleId="Proposal">
    <w:name w:val="Proposal"/>
    <w:basedOn w:val="Normal"/>
    <w:rsid w:val="00824834"/>
    <w:pPr>
      <w:numPr>
        <w:numId w:val="3"/>
      </w:numPr>
      <w:tabs>
        <w:tab w:val="clear" w:pos="1304"/>
        <w:tab w:val="left" w:pos="1701"/>
      </w:tabs>
      <w:ind w:left="1701" w:hanging="1701"/>
    </w:pPr>
    <w:rPr>
      <w:b/>
      <w:bCs/>
    </w:rPr>
  </w:style>
  <w:style w:type="character" w:customStyle="1" w:styleId="BodyTextChar">
    <w:name w:val="Body Text Char"/>
    <w:link w:val="BodyText"/>
    <w:rsid w:val="00824834"/>
    <w:rPr>
      <w:rFonts w:ascii="Arial" w:hAnsi="Arial"/>
      <w:lang w:val="en-GB" w:eastAsia="zh-CN"/>
    </w:rPr>
  </w:style>
  <w:style w:type="paragraph" w:customStyle="1" w:styleId="B5">
    <w:name w:val="B5"/>
    <w:basedOn w:val="List5"/>
    <w:rsid w:val="00824834"/>
    <w:pPr>
      <w:spacing w:after="180"/>
      <w:jc w:val="left"/>
    </w:pPr>
    <w:rPr>
      <w:lang w:eastAsia="en-US"/>
    </w:rPr>
  </w:style>
  <w:style w:type="paragraph" w:customStyle="1" w:styleId="EX">
    <w:name w:val="EX"/>
    <w:basedOn w:val="Normal"/>
    <w:rsid w:val="00824834"/>
    <w:pPr>
      <w:keepLines/>
      <w:spacing w:after="180"/>
      <w:ind w:left="1702" w:hanging="1418"/>
      <w:jc w:val="left"/>
    </w:pPr>
    <w:rPr>
      <w:lang w:eastAsia="en-US"/>
    </w:rPr>
  </w:style>
  <w:style w:type="paragraph" w:customStyle="1" w:styleId="EW">
    <w:name w:val="EW"/>
    <w:basedOn w:val="EX"/>
    <w:rsid w:val="00824834"/>
    <w:pPr>
      <w:spacing w:after="0"/>
    </w:pPr>
  </w:style>
  <w:style w:type="paragraph" w:customStyle="1" w:styleId="TAL">
    <w:name w:val="TAL"/>
    <w:basedOn w:val="Normal"/>
    <w:rsid w:val="00824834"/>
    <w:pPr>
      <w:keepNext/>
      <w:keepLines/>
      <w:spacing w:after="0"/>
      <w:jc w:val="left"/>
    </w:pPr>
    <w:rPr>
      <w:sz w:val="18"/>
      <w:lang w:eastAsia="en-US"/>
    </w:rPr>
  </w:style>
  <w:style w:type="paragraph" w:customStyle="1" w:styleId="TAC">
    <w:name w:val="TAC"/>
    <w:basedOn w:val="TAL"/>
    <w:rsid w:val="00824834"/>
    <w:pPr>
      <w:jc w:val="center"/>
    </w:pPr>
  </w:style>
  <w:style w:type="paragraph" w:customStyle="1" w:styleId="TAH">
    <w:name w:val="TAH"/>
    <w:basedOn w:val="TAC"/>
    <w:rsid w:val="00824834"/>
    <w:rPr>
      <w:b/>
    </w:rPr>
  </w:style>
  <w:style w:type="paragraph" w:customStyle="1" w:styleId="TAN">
    <w:name w:val="TAN"/>
    <w:basedOn w:val="TAL"/>
    <w:rsid w:val="00824834"/>
    <w:pPr>
      <w:ind w:left="851" w:hanging="851"/>
    </w:pPr>
  </w:style>
  <w:style w:type="paragraph" w:customStyle="1" w:styleId="TAR">
    <w:name w:val="TAR"/>
    <w:basedOn w:val="TAL"/>
    <w:rsid w:val="00824834"/>
    <w:pPr>
      <w:jc w:val="right"/>
    </w:pPr>
  </w:style>
  <w:style w:type="paragraph" w:customStyle="1" w:styleId="TH">
    <w:name w:val="TH"/>
    <w:basedOn w:val="Normal"/>
    <w:rsid w:val="00824834"/>
    <w:pPr>
      <w:keepNext/>
      <w:keepLines/>
      <w:spacing w:before="60" w:after="180"/>
      <w:jc w:val="center"/>
    </w:pPr>
    <w:rPr>
      <w:b/>
      <w:lang w:eastAsia="en-US"/>
    </w:rPr>
  </w:style>
  <w:style w:type="paragraph" w:customStyle="1" w:styleId="TF">
    <w:name w:val="TF"/>
    <w:basedOn w:val="TH"/>
    <w:rsid w:val="00824834"/>
    <w:pPr>
      <w:keepNext w:val="0"/>
      <w:spacing w:before="0" w:after="240"/>
    </w:pPr>
  </w:style>
  <w:style w:type="paragraph" w:customStyle="1" w:styleId="TT">
    <w:name w:val="TT"/>
    <w:basedOn w:val="Heading1"/>
    <w:next w:val="Normal"/>
    <w:rsid w:val="00824834"/>
    <w:pPr>
      <w:numPr>
        <w:numId w:val="0"/>
      </w:numPr>
      <w:ind w:left="1134" w:hanging="1134"/>
      <w:outlineLvl w:val="9"/>
    </w:pPr>
    <w:rPr>
      <w:rFonts w:cs="Times New Roman"/>
      <w:szCs w:val="20"/>
      <w:lang w:eastAsia="en-US"/>
    </w:rPr>
  </w:style>
  <w:style w:type="paragraph" w:customStyle="1" w:styleId="ZA">
    <w:name w:val="ZA"/>
    <w:rsid w:val="008248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248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2483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2483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24834"/>
  </w:style>
  <w:style w:type="paragraph" w:customStyle="1" w:styleId="ZH">
    <w:name w:val="ZH"/>
    <w:rsid w:val="0082483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248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24834"/>
    <w:pPr>
      <w:framePr w:hRule="auto" w:wrap="notBeside" w:y="852"/>
    </w:pPr>
    <w:rPr>
      <w:i w:val="0"/>
      <w:sz w:val="40"/>
    </w:rPr>
  </w:style>
  <w:style w:type="paragraph" w:customStyle="1" w:styleId="ZU">
    <w:name w:val="ZU"/>
    <w:rsid w:val="008248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24834"/>
    <w:pPr>
      <w:framePr w:wrap="notBeside" w:y="16161"/>
    </w:pPr>
  </w:style>
  <w:style w:type="paragraph" w:customStyle="1" w:styleId="FP">
    <w:name w:val="FP"/>
    <w:basedOn w:val="Normal"/>
    <w:rsid w:val="00824834"/>
    <w:pPr>
      <w:spacing w:after="0"/>
      <w:jc w:val="left"/>
    </w:pPr>
    <w:rPr>
      <w:lang w:eastAsia="en-US"/>
    </w:rPr>
  </w:style>
  <w:style w:type="paragraph" w:customStyle="1" w:styleId="Observation">
    <w:name w:val="Observation"/>
    <w:basedOn w:val="Proposal"/>
    <w:qFormat/>
    <w:rsid w:val="00824834"/>
    <w:pPr>
      <w:numPr>
        <w:numId w:val="13"/>
      </w:numPr>
      <w:ind w:left="1701" w:hanging="1701"/>
    </w:pPr>
  </w:style>
  <w:style w:type="paragraph" w:styleId="TableofFigures">
    <w:name w:val="table of figures"/>
    <w:basedOn w:val="Normal"/>
    <w:next w:val="Normal"/>
    <w:uiPriority w:val="99"/>
    <w:rsid w:val="00824834"/>
    <w:pPr>
      <w:ind w:left="1418" w:hanging="1418"/>
      <w:jc w:val="left"/>
    </w:pPr>
    <w:rPr>
      <w:b/>
    </w:rPr>
  </w:style>
  <w:style w:type="paragraph" w:customStyle="1" w:styleId="Doc-text2">
    <w:name w:val="Doc-text2"/>
    <w:basedOn w:val="Normal"/>
    <w:link w:val="Doc-text2Char"/>
    <w:qFormat/>
    <w:rsid w:val="0082483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2483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ljach\Documents\NR\UP%20contribution\RAN2%23102_AH\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5NUHHDQN7SK2-1476151046-24883</_dlc_DocId>
    <_dlc_DocIdUrl xmlns="f166a696-7b5b-4ccd-9f0c-ffde0cceec81">
      <Url>https://ericsson.sharepoint.com/sites/star/_layouts/15/DocIdRedir.aspx?ID=5NUHHDQN7SK2-1476151046-24883</Url>
      <Description>5NUHHDQN7SK2-1476151046-24883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6F201-E98B-4341-A7FA-232414568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5E86BBF2-1189-46E8-8071-CBFD63BB4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TotalTime>38</TotalTime>
  <Pages>2</Pages>
  <Words>557</Words>
  <Characters>2958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
  <cp:lastModifiedBy>Ericsson</cp:lastModifiedBy>
  <cp:revision>26</cp:revision>
  <cp:lastPrinted>2008-01-31T16:09:00Z</cp:lastPrinted>
  <dcterms:created xsi:type="dcterms:W3CDTF">2018-06-15T07:50:00Z</dcterms:created>
  <dcterms:modified xsi:type="dcterms:W3CDTF">2018-06-21T13:31:00Z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
  </property>
  <property fmtid="{D5CDD505-2E9C-101B-9397-08002B2CF9AE}" pid="4" name="_dlc_DocId">
    <vt:lpwstr>5NUHHDQN7SK2-1-562</vt:lpwstr>
  </property>
  <property fmtid="{D5CDD505-2E9C-101B-9397-08002B2CF9AE}" pid="5" name="_dlc_DocIdItemGuid">
    <vt:lpwstr>ed4a1b6f-6972-45f1-b67d-bc2b2dee84a6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